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C622" w14:textId="77777777" w:rsidR="00EE60F3" w:rsidRDefault="00EE60F3" w:rsidP="00EE60F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67BB744" w14:textId="4E6A8540" w:rsidR="00EE60F3" w:rsidRPr="00EE60F3" w:rsidRDefault="00EE60F3" w:rsidP="00EE60F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14A61">
        <w:rPr>
          <w:b/>
          <w:sz w:val="24"/>
          <w:szCs w:val="24"/>
        </w:rPr>
        <w:t>POLICY DETAILS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17"/>
      </w:tblGrid>
      <w:tr w:rsidR="00EE60F3" w:rsidRPr="007A69D6" w14:paraId="6CE52218" w14:textId="77777777" w:rsidTr="00EE019B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282D8" w14:textId="77777777" w:rsidR="00EE60F3" w:rsidRPr="007A69D6" w:rsidRDefault="00EE60F3" w:rsidP="00EE019B">
            <w:pPr>
              <w:spacing w:after="0" w:line="252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7A69D6">
              <w:rPr>
                <w:rFonts w:eastAsia="Times New Roman" w:cs="Calibri"/>
                <w:b/>
                <w:sz w:val="24"/>
                <w:szCs w:val="24"/>
              </w:rPr>
              <w:t>Policy Title</w:t>
            </w:r>
          </w:p>
        </w:tc>
        <w:tc>
          <w:tcPr>
            <w:tcW w:w="7217" w:type="dxa"/>
            <w:shd w:val="clear" w:color="auto" w:fill="auto"/>
          </w:tcPr>
          <w:p w14:paraId="73D27BD2" w14:textId="788DA97D" w:rsidR="00EE60F3" w:rsidRPr="007A69D6" w:rsidRDefault="00EE60F3" w:rsidP="00EE019B">
            <w:pPr>
              <w:spacing w:after="0" w:line="252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Mobile Phone</w:t>
            </w:r>
            <w:r>
              <w:rPr>
                <w:rFonts w:eastAsia="Times New Roman" w:cs="Calibri"/>
                <w:sz w:val="24"/>
                <w:szCs w:val="24"/>
              </w:rPr>
              <w:t xml:space="preserve"> Policy</w:t>
            </w:r>
          </w:p>
        </w:tc>
      </w:tr>
      <w:tr w:rsidR="00EE60F3" w:rsidRPr="007A69D6" w14:paraId="732E2C38" w14:textId="77777777" w:rsidTr="00EE019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9E7D5" w14:textId="77777777" w:rsidR="00EE60F3" w:rsidRPr="007A69D6" w:rsidRDefault="00EE60F3" w:rsidP="00EE019B">
            <w:pPr>
              <w:spacing w:after="0" w:line="252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7A69D6">
              <w:rPr>
                <w:rFonts w:eastAsia="Times New Roman" w:cs="Calibri"/>
                <w:b/>
                <w:sz w:val="24"/>
                <w:szCs w:val="24"/>
              </w:rPr>
              <w:t>Approved Date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1FAC9E" w14:textId="0555E32D" w:rsidR="00EE60F3" w:rsidRPr="007A69D6" w:rsidRDefault="00EE60F3" w:rsidP="00EE019B">
            <w:pPr>
              <w:spacing w:after="0" w:line="252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75789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75789D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November 2020</w:t>
            </w:r>
          </w:p>
        </w:tc>
      </w:tr>
      <w:tr w:rsidR="00EE60F3" w:rsidRPr="007A69D6" w14:paraId="7881065B" w14:textId="77777777" w:rsidTr="00EE019B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63663D" w14:textId="77777777" w:rsidR="00EE60F3" w:rsidRPr="007A69D6" w:rsidRDefault="00EE60F3" w:rsidP="00EE019B">
            <w:pPr>
              <w:spacing w:after="0" w:line="252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7A69D6">
              <w:rPr>
                <w:rFonts w:eastAsia="Times New Roman" w:cs="Calibri"/>
                <w:b/>
                <w:sz w:val="24"/>
                <w:szCs w:val="24"/>
              </w:rPr>
              <w:t>Next Review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5622C6" w14:textId="1A82115B" w:rsidR="00EE60F3" w:rsidRPr="007A69D6" w:rsidRDefault="00EE60F3" w:rsidP="00EE019B">
            <w:pPr>
              <w:spacing w:after="0" w:line="252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7A69D6">
              <w:rPr>
                <w:rFonts w:eastAsia="Times New Roman" w:cs="Calibri"/>
                <w:sz w:val="24"/>
                <w:szCs w:val="24"/>
              </w:rPr>
              <w:t>1</w:t>
            </w:r>
            <w:r w:rsidRPr="00EE60F3">
              <w:rPr>
                <w:rFonts w:eastAsia="Times New Roman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Calibri"/>
                <w:sz w:val="24"/>
                <w:szCs w:val="24"/>
              </w:rPr>
              <w:t xml:space="preserve"> November 2023</w:t>
            </w:r>
          </w:p>
        </w:tc>
      </w:tr>
    </w:tbl>
    <w:p w14:paraId="3A46BD30" w14:textId="77777777" w:rsidR="0075789D" w:rsidRDefault="0075789D" w:rsidP="007A3CE9">
      <w:pPr>
        <w:spacing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22EAF78" w14:textId="5C3A0E62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21472D8C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FC6A45">
        <w:rPr>
          <w:rFonts w:cstheme="minorHAnsi"/>
        </w:rPr>
        <w:t>Darraweit Guim Primary School’s</w:t>
      </w:r>
      <w:r>
        <w:rPr>
          <w:rFonts w:cstheme="minorHAnsi"/>
        </w:rPr>
        <w:t xml:space="preserve"> policy requirements and expectations relating to students using mobile phones </w:t>
      </w:r>
      <w:r w:rsidR="00FC6A45">
        <w:rPr>
          <w:rFonts w:cstheme="minorHAnsi"/>
        </w:rPr>
        <w:t>and other personal mobile devices such as smart watches</w:t>
      </w:r>
      <w:r w:rsidR="00B27240">
        <w:rPr>
          <w:rFonts w:cstheme="minorHAnsi"/>
        </w:rPr>
        <w:t xml:space="preserve"> during school hours</w:t>
      </w:r>
      <w:r w:rsidR="00FC6A45">
        <w:rPr>
          <w:rFonts w:cstheme="minorHAnsi"/>
        </w:rPr>
        <w:t>.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3D2239BA" w14:textId="77777777" w:rsidR="00FC6A45" w:rsidRDefault="007A3CE9" w:rsidP="00FC6A4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FC6A45">
        <w:rPr>
          <w:rFonts w:asciiTheme="minorHAnsi" w:hAnsiTheme="minorHAnsi" w:cstheme="minorHAnsi"/>
          <w:sz w:val="22"/>
          <w:szCs w:val="22"/>
        </w:rPr>
        <w:t>Darraweit Guim Primary School</w:t>
      </w:r>
      <w:r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1500073C" w:rsidR="007A3CE9" w:rsidRPr="00FC6A45" w:rsidRDefault="007A3CE9" w:rsidP="00FC6A4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C6A45">
        <w:rPr>
          <w:rFonts w:asciiTheme="minorHAnsi" w:hAnsiTheme="minorHAnsi" w:cstheme="minorHAnsi"/>
          <w:sz w:val="22"/>
          <w:szCs w:val="22"/>
        </w:rPr>
        <w:t>St</w:t>
      </w:r>
      <w:r w:rsidR="00FC6A45" w:rsidRPr="00FC6A45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FC6A45">
        <w:rPr>
          <w:rFonts w:asciiTheme="minorHAnsi" w:hAnsiTheme="minorHAnsi" w:cstheme="minorHAnsi"/>
          <w:sz w:val="22"/>
          <w:szCs w:val="22"/>
        </w:rPr>
        <w:t>and other personal mobile devices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57A37CB7" w:rsidR="007A3CE9" w:rsidRPr="00FC6A45" w:rsidRDefault="007A3CE9" w:rsidP="007A3CE9">
      <w:pPr>
        <w:jc w:val="both"/>
        <w:outlineLvl w:val="1"/>
        <w:rPr>
          <w:rFonts w:cstheme="minorHAnsi"/>
          <w:color w:val="000000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 w:rsidRPr="00FC6A45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FC6A45">
        <w:rPr>
          <w:rFonts w:cstheme="minorHAnsi"/>
          <w:color w:val="000000"/>
        </w:rPr>
        <w:t>.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703D939E" w:rsidR="007A3CE9" w:rsidRPr="00FC6A45" w:rsidRDefault="00FC6A45" w:rsidP="007A3CE9">
      <w:pPr>
        <w:jc w:val="both"/>
        <w:rPr>
          <w:rFonts w:cstheme="minorHAnsi"/>
        </w:rPr>
      </w:pPr>
      <w:r>
        <w:rPr>
          <w:rFonts w:cstheme="minorHAnsi"/>
        </w:rPr>
        <w:t>Darraweit Guim Primary School</w:t>
      </w:r>
      <w:r w:rsidR="007A3CE9" w:rsidRPr="00FC6A45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56E18EE3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>At</w:t>
      </w:r>
      <w:r w:rsidR="00FC6A45">
        <w:rPr>
          <w:rFonts w:cstheme="minorHAnsi"/>
        </w:rPr>
        <w:t xml:space="preserve"> Darraweit Guim Primary School:</w:t>
      </w:r>
      <w:r w:rsidRPr="00135067">
        <w:rPr>
          <w:rFonts w:cstheme="minorHAnsi"/>
        </w:rPr>
        <w:t xml:space="preserve"> 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079745AE" w:rsidR="007A3CE9" w:rsidRDefault="007A3CE9" w:rsidP="007A3CE9">
      <w:pPr>
        <w:jc w:val="both"/>
      </w:pPr>
      <w:r>
        <w:t xml:space="preserve">In accordance with the Department’s </w:t>
      </w:r>
      <w:hyperlink r:id="rId11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FC6A45" w:rsidRPr="00FC6A45">
        <w:t xml:space="preserve">Darraweit Guim Primary School </w:t>
      </w:r>
      <w:r>
        <w:t>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Secure storage</w:t>
      </w:r>
    </w:p>
    <w:p w14:paraId="201201E3" w14:textId="77777777" w:rsidR="0075789D" w:rsidRDefault="0075789D" w:rsidP="007A3C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6D7B8F" w14:textId="403082AD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Mobile</w:t>
      </w:r>
      <w:r w:rsidR="00FC6A45">
        <w:rPr>
          <w:rFonts w:asciiTheme="minorHAnsi" w:hAnsiTheme="minorHAnsi" w:cstheme="minorHAnsi"/>
          <w:sz w:val="22"/>
          <w:szCs w:val="22"/>
        </w:rPr>
        <w:t xml:space="preserve"> phones and wearable devices such as smart watches</w:t>
      </w:r>
      <w:r>
        <w:rPr>
          <w:rFonts w:asciiTheme="minorHAnsi" w:hAnsiTheme="minorHAnsi" w:cstheme="minorHAnsi"/>
          <w:sz w:val="22"/>
          <w:szCs w:val="22"/>
        </w:rPr>
        <w:t xml:space="preserve"> owned by students at</w:t>
      </w:r>
      <w:r w:rsidR="00FC6A45">
        <w:rPr>
          <w:rFonts w:asciiTheme="minorHAnsi" w:hAnsiTheme="minorHAnsi" w:cstheme="minorHAnsi"/>
          <w:sz w:val="22"/>
          <w:szCs w:val="22"/>
        </w:rPr>
        <w:t xml:space="preserve"> Darraweit Guim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</w:t>
      </w:r>
      <w:r w:rsidRPr="00FC6A45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FC6A45">
        <w:rPr>
          <w:rFonts w:asciiTheme="minorHAnsi" w:hAnsiTheme="minorHAnsi" w:cstheme="minorHAnsi"/>
          <w:sz w:val="22"/>
          <w:szCs w:val="22"/>
        </w:rPr>
        <w:t>Darraweit Guim Primary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</w:t>
      </w:r>
      <w:r w:rsidRPr="00270AA3">
        <w:rPr>
          <w:rFonts w:asciiTheme="minorHAnsi" w:hAnsiTheme="minorHAnsi" w:cstheme="minorHAnsi"/>
          <w:sz w:val="22"/>
          <w:szCs w:val="22"/>
        </w:rPr>
        <w:t xml:space="preserve">Department’s </w:t>
      </w:r>
      <w:hyperlink r:id="rId12" w:history="1">
        <w:r w:rsidR="009D39F1" w:rsidRPr="00270AA3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270AA3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270AA3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.]</w:t>
      </w:r>
      <w:r w:rsidR="001C13E9" w:rsidRPr="00270AA3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1FA6A709" w:rsidR="007A3CE9" w:rsidRDefault="007A3CE9" w:rsidP="007A3CE9">
      <w:pPr>
        <w:spacing w:before="120" w:after="240"/>
        <w:jc w:val="both"/>
      </w:pPr>
      <w:r>
        <w:rPr>
          <w:rFonts w:cstheme="minorHAnsi"/>
        </w:rPr>
        <w:t>Wher</w:t>
      </w:r>
      <w:r w:rsidR="00270AA3">
        <w:rPr>
          <w:rFonts w:cstheme="minorHAnsi"/>
        </w:rPr>
        <w:t>e students bring a mobile phone to school, Darraweit Guim Primary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270AA3" w:rsidRPr="00270AA3">
        <w:rPr>
          <w:rFonts w:cstheme="minorHAnsi"/>
        </w:rPr>
        <w:t xml:space="preserve">Darraweit Guim Primary School </w:t>
      </w:r>
      <w:r>
        <w:rPr>
          <w:rFonts w:cstheme="minorHAnsi"/>
        </w:rPr>
        <w:t>students ar</w:t>
      </w:r>
      <w:r w:rsidR="00270AA3">
        <w:rPr>
          <w:rFonts w:cstheme="minorHAnsi"/>
        </w:rPr>
        <w:t>e required to hand their phones to the principal, who will place them into a locked area within the main office.</w:t>
      </w:r>
      <w:r>
        <w:rPr>
          <w:rFonts w:cstheme="minorHAnsi"/>
        </w:rPr>
        <w:t xml:space="preserve"> 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0441B441" w:rsidR="00B43A01" w:rsidRPr="00270AA3" w:rsidRDefault="007A3CE9" w:rsidP="007A3CE9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</w:t>
      </w:r>
      <w:r w:rsidR="00270AA3">
        <w:rPr>
          <w:rFonts w:cstheme="minorHAnsi"/>
        </w:rPr>
        <w:t xml:space="preserve">or wearable devices </w:t>
      </w:r>
      <w:r>
        <w:rPr>
          <w:rFonts w:cstheme="minorHAnsi"/>
        </w:rPr>
        <w:t>inappropriately at</w:t>
      </w:r>
      <w:r w:rsidR="00270AA3">
        <w:rPr>
          <w:rFonts w:cstheme="minorHAnsi"/>
        </w:rPr>
        <w:t xml:space="preserve"> Darraweit Guim Primary School</w:t>
      </w:r>
      <w:r>
        <w:rPr>
          <w:rFonts w:cstheme="minorHAnsi"/>
        </w:rPr>
        <w:t xml:space="preserve"> </w:t>
      </w:r>
      <w:r w:rsidRPr="00270AA3">
        <w:rPr>
          <w:rFonts w:cstheme="minorHAnsi"/>
        </w:rPr>
        <w:t>may be issued with consequences consistent with our school’s existing student engagement polices</w:t>
      </w:r>
      <w:r w:rsidR="00B9530E">
        <w:rPr>
          <w:rFonts w:cstheme="minorHAnsi"/>
        </w:rPr>
        <w:t>.</w:t>
      </w:r>
    </w:p>
    <w:p w14:paraId="3E49E1A5" w14:textId="2FB0700F" w:rsidR="00B43A01" w:rsidRPr="00B9530E" w:rsidRDefault="00B43A01" w:rsidP="00B43A01">
      <w:pPr>
        <w:jc w:val="both"/>
      </w:pPr>
      <w:r w:rsidRPr="00B9530E">
        <w:rPr>
          <w:rFonts w:cstheme="minorHAnsi"/>
        </w:rPr>
        <w:t>At</w:t>
      </w:r>
      <w:r w:rsidRPr="00B9530E">
        <w:t xml:space="preserve"> Example School inappropriate use of mobile phones</w:t>
      </w:r>
      <w:r w:rsidR="00B9530E">
        <w:t xml:space="preserve"> and wearable devices</w:t>
      </w:r>
      <w:r w:rsidRPr="00B9530E">
        <w:t xml:space="preserve"> is </w:t>
      </w:r>
      <w:r w:rsidRPr="00B9530E">
        <w:rPr>
          <w:b/>
        </w:rPr>
        <w:t>any use during school hours</w:t>
      </w:r>
      <w:r w:rsidRPr="00B9530E">
        <w:t xml:space="preserve">, </w:t>
      </w:r>
      <w:r w:rsidR="000958D8" w:rsidRPr="00B9530E">
        <w:t xml:space="preserve">unless an exception has been granted, </w:t>
      </w:r>
      <w:r w:rsidRPr="00B9530E">
        <w:t>and particularly use</w:t>
      </w:r>
      <w:r w:rsidR="000958D8" w:rsidRPr="00B9530E">
        <w:t xml:space="preserve"> of a mobile phone</w:t>
      </w:r>
      <w:r w:rsidR="00B9530E">
        <w:t xml:space="preserve"> or wearable device which can capture images</w:t>
      </w:r>
      <w:r w:rsidR="000958D8" w:rsidRPr="00B9530E">
        <w:t>:</w:t>
      </w:r>
    </w:p>
    <w:p w14:paraId="33623A01" w14:textId="77777777" w:rsidR="00B43A01" w:rsidRPr="00B9530E" w:rsidRDefault="00B43A01" w:rsidP="00B43A01">
      <w:pPr>
        <w:pStyle w:val="ListParagraph"/>
        <w:numPr>
          <w:ilvl w:val="0"/>
          <w:numId w:val="5"/>
        </w:numPr>
        <w:jc w:val="both"/>
      </w:pPr>
      <w:r w:rsidRPr="00B9530E">
        <w:t xml:space="preserve">in any way that disrupts the learning of others </w:t>
      </w:r>
    </w:p>
    <w:p w14:paraId="5A5801A4" w14:textId="77777777" w:rsidR="00B43A01" w:rsidRPr="00B9530E" w:rsidRDefault="00B43A01" w:rsidP="00B43A01">
      <w:pPr>
        <w:pStyle w:val="ListParagraph"/>
        <w:numPr>
          <w:ilvl w:val="0"/>
          <w:numId w:val="5"/>
        </w:numPr>
        <w:jc w:val="both"/>
      </w:pPr>
      <w:r w:rsidRPr="00B9530E">
        <w:t>to send inappropriate, harassing or threatening messages or phone calls</w:t>
      </w:r>
    </w:p>
    <w:p w14:paraId="7D43E324" w14:textId="77777777" w:rsidR="00B43A01" w:rsidRPr="00B9530E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B9530E">
        <w:t>to engage in inappropriate social media use including cyber bullying</w:t>
      </w:r>
    </w:p>
    <w:p w14:paraId="306DD1DE" w14:textId="77777777" w:rsidR="00B43A01" w:rsidRPr="00B9530E" w:rsidRDefault="00B43A01" w:rsidP="00B43A01">
      <w:pPr>
        <w:pStyle w:val="ListParagraph"/>
        <w:numPr>
          <w:ilvl w:val="0"/>
          <w:numId w:val="5"/>
        </w:numPr>
        <w:jc w:val="both"/>
      </w:pPr>
      <w:r w:rsidRPr="00B9530E">
        <w:t>to capture video or images of people, including students, teachers and members of the school community without their permission</w:t>
      </w:r>
    </w:p>
    <w:p w14:paraId="0018F9CF" w14:textId="77777777" w:rsidR="00B43A01" w:rsidRPr="00B9530E" w:rsidRDefault="00B43A01" w:rsidP="00B43A01">
      <w:pPr>
        <w:pStyle w:val="ListParagraph"/>
        <w:numPr>
          <w:ilvl w:val="0"/>
          <w:numId w:val="5"/>
        </w:numPr>
        <w:jc w:val="both"/>
      </w:pPr>
      <w:r w:rsidRPr="00B9530E">
        <w:t>to capture video or images in the school toilets, changing rooms, swimming pools and gyms</w:t>
      </w:r>
    </w:p>
    <w:p w14:paraId="59342A9A" w14:textId="77777777" w:rsidR="00B43A01" w:rsidRPr="00B9530E" w:rsidRDefault="00B43A01" w:rsidP="00B43A01">
      <w:pPr>
        <w:pStyle w:val="ListParagraph"/>
        <w:numPr>
          <w:ilvl w:val="0"/>
          <w:numId w:val="5"/>
        </w:numPr>
        <w:jc w:val="both"/>
      </w:pPr>
      <w:r w:rsidRPr="00B9530E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2E26B5A5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3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64F3C391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4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76A2739B" w14:textId="77777777" w:rsidR="00B9530E" w:rsidRDefault="00B9530E" w:rsidP="00070F25">
      <w:pPr>
        <w:spacing w:before="120" w:after="120" w:line="240" w:lineRule="auto"/>
        <w:jc w:val="both"/>
        <w:rPr>
          <w:rFonts w:cstheme="minorHAnsi"/>
        </w:rPr>
      </w:pP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B953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lastRenderedPageBreak/>
              <w:t>For specific learning activities (class-based exception)</w:t>
            </w:r>
          </w:p>
        </w:tc>
        <w:tc>
          <w:tcPr>
            <w:tcW w:w="2306" w:type="pct"/>
            <w:shd w:val="clear" w:color="auto" w:fill="auto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B9530E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B9530E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B9530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530E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B9530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530E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B9530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530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B9530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530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B9530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530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B9530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530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31257A0C" w:rsidR="007A3CE9" w:rsidRDefault="00B9530E" w:rsidP="007A3CE9">
      <w:pPr>
        <w:keepNext/>
        <w:keepLines/>
        <w:spacing w:before="40" w:line="240" w:lineRule="auto"/>
        <w:jc w:val="both"/>
      </w:pPr>
      <w:r>
        <w:t>Darraweit Guim Primary</w:t>
      </w:r>
      <w:r w:rsidR="007A3CE9" w:rsidRPr="00B9530E">
        <w:t xml:space="preserve"> School will provide students and their parents and carers with information about items that can or cannot be brought to camps, excursions, special activities and events, i</w:t>
      </w:r>
      <w:r>
        <w:t>ncluding personal mobile phones and wearable devices.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B9530E" w:rsidRDefault="007A3CE9" w:rsidP="007A3CE9">
      <w:pPr>
        <w:spacing w:after="0" w:line="240" w:lineRule="auto"/>
        <w:jc w:val="both"/>
        <w:rPr>
          <w:rFonts w:cstheme="minorHAnsi"/>
        </w:rPr>
      </w:pPr>
      <w:r w:rsidRPr="00B9530E">
        <w:rPr>
          <w:rFonts w:cstheme="minorHAnsi"/>
        </w:rPr>
        <w:t xml:space="preserve">This policy does not apply to </w:t>
      </w:r>
    </w:p>
    <w:p w14:paraId="7DAB21F4" w14:textId="77777777" w:rsidR="007A3CE9" w:rsidRPr="00B9530E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9530E">
        <w:rPr>
          <w:rFonts w:cstheme="minorHAnsi"/>
        </w:rPr>
        <w:t xml:space="preserve">Students undertaking workplace learning activities, </w:t>
      </w:r>
      <w:proofErr w:type="gramStart"/>
      <w:r w:rsidRPr="00B9530E">
        <w:rPr>
          <w:rFonts w:cstheme="minorHAnsi"/>
        </w:rPr>
        <w:t>e.g.</w:t>
      </w:r>
      <w:proofErr w:type="gramEnd"/>
      <w:r w:rsidRPr="00B9530E">
        <w:rPr>
          <w:rFonts w:cstheme="minorHAnsi"/>
        </w:rPr>
        <w:t xml:space="preserve"> work experience</w:t>
      </w:r>
    </w:p>
    <w:p w14:paraId="29429915" w14:textId="77777777" w:rsidR="007A3CE9" w:rsidRPr="00B9530E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9530E">
        <w:rPr>
          <w:rFonts w:cstheme="minorHAnsi"/>
        </w:rPr>
        <w:t>Students who are undertaking VET</w:t>
      </w:r>
    </w:p>
    <w:p w14:paraId="7AF795D0" w14:textId="77777777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73B4EF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AED23A5" w:rsidR="00766B73" w:rsidRPr="00766B73" w:rsidRDefault="00EE60F3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5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7E593C69" w14:textId="417CBB14" w:rsidR="007A3CE9" w:rsidRPr="009D39F1" w:rsidRDefault="00EE60F3" w:rsidP="009D39F1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lang w:val="en"/>
        </w:rPr>
      </w:pPr>
      <w:hyperlink r:id="rId16" w:history="1">
        <w:r w:rsidR="009D39F1" w:rsidRPr="009D39F1">
          <w:rPr>
            <w:rStyle w:val="Hyperlink"/>
          </w:rPr>
          <w:t>Weapons — Banning, Searching and Seizing Harmful Items</w:t>
        </w:r>
      </w:hyperlink>
    </w:p>
    <w:p w14:paraId="406F8ABF" w14:textId="559EA069" w:rsidR="007A3CE9" w:rsidRPr="009D39F1" w:rsidRDefault="00EE60F3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7" w:history="1"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4597C501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835C5B">
        <w:rPr>
          <w:rFonts w:eastAsia="Times New Roman" w:cstheme="minorHAnsi"/>
          <w:color w:val="202020"/>
          <w:lang w:eastAsia="en-AU"/>
        </w:rPr>
        <w:t>01/11/2020</w:t>
      </w:r>
      <w:r>
        <w:rPr>
          <w:rFonts w:eastAsia="Times New Roman" w:cstheme="minorHAnsi"/>
          <w:color w:val="202020"/>
          <w:lang w:eastAsia="en-AU"/>
        </w:rPr>
        <w:t xml:space="preserve"> and is scheduled for review </w:t>
      </w:r>
      <w:r w:rsidR="00835C5B">
        <w:rPr>
          <w:rFonts w:eastAsia="Times New Roman" w:cstheme="minorHAnsi"/>
          <w:color w:val="202020"/>
          <w:lang w:eastAsia="en-AU"/>
        </w:rPr>
        <w:t>in 3 years.</w:t>
      </w:r>
    </w:p>
    <w:sectPr w:rsidR="00A17B8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4374" w14:textId="77777777" w:rsidR="00850AE8" w:rsidRDefault="00850AE8" w:rsidP="00850AE8">
      <w:pPr>
        <w:spacing w:after="0" w:line="240" w:lineRule="auto"/>
      </w:pPr>
      <w:r>
        <w:separator/>
      </w:r>
    </w:p>
  </w:endnote>
  <w:endnote w:type="continuationSeparator" w:id="0">
    <w:p w14:paraId="122DCE31" w14:textId="77777777" w:rsidR="00850AE8" w:rsidRDefault="00850AE8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2F179016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0EDE" w14:textId="77777777" w:rsidR="00850AE8" w:rsidRDefault="00850AE8" w:rsidP="00850AE8">
      <w:pPr>
        <w:spacing w:after="0" w:line="240" w:lineRule="auto"/>
      </w:pPr>
      <w:r>
        <w:separator/>
      </w:r>
    </w:p>
  </w:footnote>
  <w:footnote w:type="continuationSeparator" w:id="0">
    <w:p w14:paraId="6E144775" w14:textId="77777777" w:rsidR="00850AE8" w:rsidRDefault="00850AE8" w:rsidP="0085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57B" w14:textId="3102F5F0" w:rsidR="0075789D" w:rsidRPr="00FB7E3E" w:rsidRDefault="0075789D" w:rsidP="0075789D">
    <w:pPr>
      <w:jc w:val="center"/>
      <w:rPr>
        <w:b/>
        <w:sz w:val="56"/>
        <w:szCs w:val="56"/>
      </w:rPr>
    </w:pPr>
    <w:r w:rsidRPr="00FB7E3E">
      <w:rPr>
        <w:b/>
        <w:noProof/>
        <w:sz w:val="56"/>
        <w:szCs w:val="56"/>
        <w:lang w:eastAsia="en-AU"/>
      </w:rPr>
      <w:drawing>
        <wp:anchor distT="0" distB="0" distL="114300" distR="114300" simplePos="0" relativeHeight="251659264" behindDoc="1" locked="0" layoutInCell="1" allowOverlap="1" wp14:anchorId="152FCE48" wp14:editId="66095787">
          <wp:simplePos x="0" y="0"/>
          <wp:positionH relativeFrom="column">
            <wp:posOffset>173355</wp:posOffset>
          </wp:positionH>
          <wp:positionV relativeFrom="paragraph">
            <wp:posOffset>-51435</wp:posOffset>
          </wp:positionV>
          <wp:extent cx="734060" cy="880745"/>
          <wp:effectExtent l="0" t="0" r="8890" b="0"/>
          <wp:wrapTight wrapText="bothSides">
            <wp:wrapPolygon edited="0">
              <wp:start x="0" y="0"/>
              <wp:lineTo x="0" y="21024"/>
              <wp:lineTo x="21301" y="21024"/>
              <wp:lineTo x="2130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6"/>
        <w:szCs w:val="56"/>
        <w:lang w:eastAsia="en-AU"/>
      </w:rPr>
      <w:t>Mobile Phone Policy</w:t>
    </w:r>
  </w:p>
  <w:p w14:paraId="25848DDD" w14:textId="77777777" w:rsidR="0075789D" w:rsidRDefault="00757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70AA3"/>
    <w:rsid w:val="002F1189"/>
    <w:rsid w:val="002F4361"/>
    <w:rsid w:val="00322068"/>
    <w:rsid w:val="003221D4"/>
    <w:rsid w:val="00331C2E"/>
    <w:rsid w:val="00367BE8"/>
    <w:rsid w:val="0037749C"/>
    <w:rsid w:val="00390741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5789D"/>
    <w:rsid w:val="00766B73"/>
    <w:rsid w:val="00796630"/>
    <w:rsid w:val="007A3CE9"/>
    <w:rsid w:val="007E62FA"/>
    <w:rsid w:val="00835C5B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9530E"/>
    <w:rsid w:val="00BC2EB2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0F3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laims-property-damage-and-medical-expenses/policy" TargetMode="External"/><Relationship Id="rId17" Type="http://schemas.openxmlformats.org/officeDocument/2006/relationships/hyperlink" Target="https://www2.education.vic.gov.au/pal/claims-property-damage-and-medical-expens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weapons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tudents-using-mobile-phone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students-using-mobile-phones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47472-0F1C-4E81-977B-CA196B9F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infopath/2007/PartnerControls"/>
    <ds:schemaRef ds:uri="61e538cb-f8c2-4c9c-ac78-9205d03c884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Simon Boxall</cp:lastModifiedBy>
  <cp:revision>4</cp:revision>
  <cp:lastPrinted>2019-10-04T00:55:00Z</cp:lastPrinted>
  <dcterms:created xsi:type="dcterms:W3CDTF">2021-09-17T05:35:00Z</dcterms:created>
  <dcterms:modified xsi:type="dcterms:W3CDTF">2021-10-21T01:24:00Z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{f0583cec-61f9-4fae-9e6d-b0ae5097066d}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R20200614251</vt:lpwstr>
  </property>
  <property fmtid="{D5CDD505-2E9C-101B-9397-08002B2CF9AE}" pid="12" name="RecordPoint_SubmissionCompleted">
    <vt:lpwstr>2020-07-02T09:46:39.0342142+10:00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